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2A7A" w14:textId="77777777" w:rsidR="008F4C02" w:rsidRPr="008F4C02" w:rsidRDefault="00157D14" w:rsidP="008F4C02">
      <w:pPr>
        <w:autoSpaceDE w:val="0"/>
        <w:autoSpaceDN w:val="0"/>
        <w:adjustRightInd w:val="0"/>
        <w:spacing w:before="240" w:after="0" w:line="276" w:lineRule="auto"/>
        <w:ind w:left="709" w:right="566"/>
        <w:jc w:val="both"/>
        <w:rPr>
          <w:rFonts w:eastAsia="Times New Roman" w:cstheme="minorHAnsi"/>
          <w:color w:val="000000" w:themeColor="text1"/>
          <w:lang w:eastAsia="tr-TR"/>
        </w:rPr>
      </w:pPr>
      <w:r w:rsidRPr="008F4C02">
        <w:rPr>
          <w:rFonts w:eastAsia="Times New Roman" w:cstheme="minorHAnsi"/>
          <w:color w:val="000000" w:themeColor="text1"/>
          <w:lang w:eastAsia="tr-TR"/>
        </w:rPr>
        <w:t xml:space="preserve">Değerli Tedarikçimiz, </w:t>
      </w:r>
    </w:p>
    <w:p w14:paraId="22A23E2C" w14:textId="16FAF605" w:rsidR="008F4C02" w:rsidRDefault="008069FE" w:rsidP="008F4C02">
      <w:pPr>
        <w:autoSpaceDE w:val="0"/>
        <w:autoSpaceDN w:val="0"/>
        <w:adjustRightInd w:val="0"/>
        <w:spacing w:before="240" w:after="0" w:line="276" w:lineRule="auto"/>
        <w:ind w:left="709" w:right="566"/>
        <w:jc w:val="both"/>
        <w:rPr>
          <w:rFonts w:eastAsia="Times New Roman" w:cstheme="minorHAnsi"/>
          <w:color w:val="000000" w:themeColor="text1"/>
          <w:lang w:eastAsia="tr-TR"/>
        </w:rPr>
      </w:pPr>
      <w:r>
        <w:rPr>
          <w:rFonts w:eastAsia="Times New Roman" w:cstheme="minorHAnsi"/>
          <w:color w:val="000000" w:themeColor="text1"/>
          <w:lang w:eastAsia="tr-TR"/>
        </w:rPr>
        <w:t xml:space="preserve">“Mutlu Çalışanlarla Sürdürülebilir Bir Dünya” amacımıza odaklanarak sorumlu bir şekilde hareket ediyoruz. İçinde yer aldığımız çevre ile topluma olumlu katkıda bulunmak için tedarikçilerimiz, şirketimiz ve müşterilerimiz arasındaki ürün ve hizmet tedarik sürecinin ortak hedef, ilke ve değerlerle yürütülmesi için çalışıyoruz. Bu kapsamda taahhütlerimizi YEŞİLOVA GRUP ŞİRKETLERİ POLİTİKALARI adıyla Yeşilova Holding ve grup şirketlerimizin web sitelerinde paylaşıyoruz. Yeşilova Holding Şirketlerinin paydaşlarına sunduğu değer zincirinde (ürün ve hizmetlerin üretilmesi) rol alan tedarikçi firmalar, bu taahhüdün tarafı olarak tüm uygulamalarında hem politikalarımızın hem de aşağıda yer alan etik ve davranış kurallarının uygulanmasını sağlamalıdır; </w:t>
      </w:r>
    </w:p>
    <w:p w14:paraId="4537EC23" w14:textId="77777777" w:rsidR="004F5CCA" w:rsidRPr="008C32CB" w:rsidRDefault="00157D14" w:rsidP="008F4C02">
      <w:pPr>
        <w:autoSpaceDE w:val="0"/>
        <w:autoSpaceDN w:val="0"/>
        <w:adjustRightInd w:val="0"/>
        <w:spacing w:before="240" w:after="0" w:line="276" w:lineRule="auto"/>
        <w:ind w:left="709" w:right="566"/>
        <w:jc w:val="both"/>
        <w:rPr>
          <w:rFonts w:cstheme="minorHAnsi"/>
          <w:b/>
          <w:bCs/>
          <w:color w:val="000000" w:themeColor="text1"/>
          <w:sz w:val="24"/>
          <w:szCs w:val="24"/>
        </w:rPr>
      </w:pPr>
      <w:r w:rsidRPr="008C32CB">
        <w:rPr>
          <w:rFonts w:cstheme="minorHAnsi"/>
          <w:b/>
          <w:bCs/>
          <w:color w:val="000000" w:themeColor="text1"/>
          <w:sz w:val="24"/>
          <w:szCs w:val="24"/>
        </w:rPr>
        <w:t>1. Yasalara Uyum</w:t>
      </w:r>
    </w:p>
    <w:p w14:paraId="0D6AD681" w14:textId="77777777" w:rsidR="004F5CCA"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color w:val="000000" w:themeColor="text1"/>
        </w:rPr>
        <w:t xml:space="preserve">Tedarikçiler, kendileri ve işleri ile ilgili ulusal ve uluslararası yasaları ve diğer yasal gereklilikleri bilmek ve bunlara tam uyum göstermekle sorumludurlar. </w:t>
      </w:r>
    </w:p>
    <w:p w14:paraId="56B3D9E5" w14:textId="77777777" w:rsidR="004F5CCA" w:rsidRPr="008C32CB" w:rsidRDefault="00157D14" w:rsidP="008F4C02">
      <w:pPr>
        <w:autoSpaceDE w:val="0"/>
        <w:autoSpaceDN w:val="0"/>
        <w:adjustRightInd w:val="0"/>
        <w:spacing w:before="240" w:after="0" w:line="276" w:lineRule="auto"/>
        <w:ind w:left="709" w:right="566"/>
        <w:jc w:val="both"/>
        <w:rPr>
          <w:rFonts w:cstheme="minorHAnsi"/>
          <w:b/>
          <w:bCs/>
          <w:color w:val="000000" w:themeColor="text1"/>
          <w:sz w:val="24"/>
          <w:szCs w:val="24"/>
        </w:rPr>
      </w:pPr>
      <w:r w:rsidRPr="008C32CB">
        <w:rPr>
          <w:rFonts w:cstheme="minorHAnsi"/>
          <w:b/>
          <w:bCs/>
          <w:color w:val="000000" w:themeColor="text1"/>
          <w:sz w:val="24"/>
          <w:szCs w:val="24"/>
        </w:rPr>
        <w:t>2. Çalışma Koşulları</w:t>
      </w:r>
    </w:p>
    <w:p w14:paraId="4CBB0786" w14:textId="77777777" w:rsidR="004F5CCA"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b/>
          <w:bCs/>
          <w:color w:val="000000" w:themeColor="text1"/>
        </w:rPr>
        <w:t>İş Sağlığı ve Güvenliği:</w:t>
      </w:r>
      <w:r w:rsidRPr="008C32CB">
        <w:rPr>
          <w:rFonts w:cstheme="minorHAnsi"/>
          <w:color w:val="000000" w:themeColor="text1"/>
        </w:rPr>
        <w:t xml:space="preserve"> Tedarikçiler, iş sağlığı ve güvenliği bakımından tüm önlemleri alır. Çalışanlarına bu kapsamda gerekli her türlü eğitim, donanım ve ekipmanı temin eder. Sağlık ve güvenlik risklerinin yönetilmesi, iş kazası ve meslek hastalıklarının önlenmesi için gerekli olanakları sağlar.</w:t>
      </w:r>
    </w:p>
    <w:p w14:paraId="3E1C77A5" w14:textId="77777777" w:rsidR="004F5CCA"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b/>
          <w:bCs/>
          <w:color w:val="000000" w:themeColor="text1"/>
        </w:rPr>
        <w:t>Çevre:</w:t>
      </w:r>
      <w:r w:rsidRPr="008C32CB">
        <w:rPr>
          <w:rFonts w:cstheme="minorHAnsi"/>
          <w:color w:val="000000" w:themeColor="text1"/>
        </w:rPr>
        <w:t xml:space="preserve"> Tedarikçiler, faaliyetlerini geçerli olan tüm ulusal ve uluslararası çevre yasa ve düzenlemelerine uygun olarak sürdürmek zorundadır. Yaptığı işlerin ve aldığı kararların çevreye etkilerini değerlendirir, doğal kaynakların korunması, atıkların azaltılması, karbon ayak izinin azaltılması, kirlilik kontrolü için gerekli önlemleri alır.</w:t>
      </w:r>
    </w:p>
    <w:p w14:paraId="6526D838" w14:textId="77777777" w:rsidR="004F5CCA"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b/>
          <w:bCs/>
          <w:color w:val="000000" w:themeColor="text1"/>
        </w:rPr>
        <w:t>Çalışana Saygı:</w:t>
      </w:r>
      <w:r w:rsidR="00B06D5B" w:rsidRPr="008C32CB">
        <w:rPr>
          <w:rFonts w:cstheme="minorHAnsi"/>
          <w:color w:val="000000" w:themeColor="text1"/>
        </w:rPr>
        <w:t xml:space="preserve"> Tedarikçiler, çalışanlarına saygılı biçimde davranır. Çalışanlarla ilgili kararları, iş ihtiyaçları ve liyakate göre ve her zaman geçerli prosedürlere uygun bir şekilde vermelidir. Bununla birlikte, çalışanlarına zihinsel, fiziksel, cinsel ya da başka türlü taciz ve rahatsızlık verici unsurlardan uzak bir çalışma ortamı sağlamakla yükümlüdür.</w:t>
      </w:r>
    </w:p>
    <w:p w14:paraId="1E41D009" w14:textId="77777777" w:rsidR="004F5CCA"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b/>
          <w:bCs/>
          <w:color w:val="000000" w:themeColor="text1"/>
        </w:rPr>
        <w:t>Adil Ücret ve Çalışma Süreleri:</w:t>
      </w:r>
      <w:r w:rsidRPr="008C32CB">
        <w:rPr>
          <w:rFonts w:cstheme="minorHAnsi"/>
          <w:color w:val="000000" w:themeColor="text1"/>
        </w:rPr>
        <w:t xml:space="preserve"> Tedarikçiler, çalışanlarına en azından yasalarda belirtilen asgari ücreti ödeyecektir. Faaliyet gösterilen bölgedeki yasal çalışma sürelerine uyulacaktır. Fazla mesai için yasalarda belirtilen fazla mesai ücreti ödenecektir, yasal zorunluluk bulunmayan hallerde ise en azından normal saat ücreti oranında ödeme yapılması esastır. Yasal zorunluluk kapsamında çalışanların her yedi günde en az bir gün hafta tatili bulunmalıdır.</w:t>
      </w:r>
    </w:p>
    <w:p w14:paraId="5DD6AE21" w14:textId="77777777" w:rsidR="004F5CCA"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b/>
          <w:bCs/>
          <w:color w:val="000000" w:themeColor="text1"/>
        </w:rPr>
        <w:t xml:space="preserve">Örgütlenme ve Toplu Pazarlık Hakkı: </w:t>
      </w:r>
      <w:r w:rsidRPr="008C32CB">
        <w:rPr>
          <w:rFonts w:cstheme="minorHAnsi"/>
          <w:color w:val="000000" w:themeColor="text1"/>
        </w:rPr>
        <w:t>Tedarikçiler çalışanlarının örgütlenme, sendika kurma ya da sendikalara üye olma haklarına saygılı olacaktır.</w:t>
      </w:r>
    </w:p>
    <w:p w14:paraId="0FE2FF0F" w14:textId="77777777" w:rsidR="001C6846"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b/>
          <w:bCs/>
          <w:color w:val="000000" w:themeColor="text1"/>
        </w:rPr>
        <w:t xml:space="preserve">Kişisel Verilerin Korunması Hakkı: </w:t>
      </w:r>
      <w:r w:rsidR="002842DF" w:rsidRPr="008C32CB">
        <w:rPr>
          <w:rFonts w:cstheme="minorHAnsi"/>
          <w:color w:val="000000" w:themeColor="text1"/>
        </w:rPr>
        <w:t>Tedarikçiler, Kişisel Verilerin Korunması Kanunu kapsamında çalışanlarının kişisel verilerinin yasal kurallara uygun saklamakla yükümlüdür.</w:t>
      </w:r>
    </w:p>
    <w:p w14:paraId="5F73ADC9" w14:textId="77777777" w:rsidR="00157D14"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p>
    <w:p w14:paraId="125F987A" w14:textId="77777777" w:rsidR="006773F9" w:rsidRPr="008C32CB" w:rsidRDefault="00157D14" w:rsidP="008F4C02">
      <w:pPr>
        <w:autoSpaceDE w:val="0"/>
        <w:autoSpaceDN w:val="0"/>
        <w:adjustRightInd w:val="0"/>
        <w:spacing w:before="240" w:after="0" w:line="276" w:lineRule="auto"/>
        <w:ind w:left="709" w:right="566"/>
        <w:jc w:val="both"/>
        <w:rPr>
          <w:rFonts w:cstheme="minorHAnsi"/>
          <w:b/>
          <w:bCs/>
          <w:color w:val="000000" w:themeColor="text1"/>
          <w:sz w:val="24"/>
          <w:szCs w:val="24"/>
        </w:rPr>
      </w:pPr>
      <w:r w:rsidRPr="008C32CB">
        <w:rPr>
          <w:rFonts w:cstheme="minorHAnsi"/>
          <w:b/>
          <w:bCs/>
          <w:color w:val="000000" w:themeColor="text1"/>
          <w:sz w:val="24"/>
          <w:szCs w:val="24"/>
        </w:rPr>
        <w:lastRenderedPageBreak/>
        <w:t>3. İnsan Hakları</w:t>
      </w:r>
    </w:p>
    <w:p w14:paraId="7869325F" w14:textId="77777777" w:rsidR="006773F9" w:rsidRPr="008C32CB" w:rsidRDefault="00157D14" w:rsidP="008F4C02">
      <w:pPr>
        <w:pStyle w:val="ListeParagraf"/>
        <w:spacing w:before="240" w:after="120" w:line="276" w:lineRule="auto"/>
        <w:ind w:left="709" w:right="566"/>
        <w:jc w:val="both"/>
        <w:rPr>
          <w:rFonts w:asciiTheme="minorHAnsi" w:hAnsiTheme="minorHAnsi" w:cstheme="minorHAnsi"/>
          <w:color w:val="000000" w:themeColor="text1"/>
          <w:sz w:val="22"/>
          <w:szCs w:val="22"/>
        </w:rPr>
      </w:pPr>
      <w:r w:rsidRPr="008C32CB">
        <w:rPr>
          <w:rFonts w:asciiTheme="minorHAnsi" w:hAnsiTheme="minorHAnsi" w:cstheme="minorHAnsi"/>
          <w:b/>
          <w:bCs/>
          <w:color w:val="000000" w:themeColor="text1"/>
          <w:sz w:val="22"/>
          <w:szCs w:val="22"/>
        </w:rPr>
        <w:t>Çocuk-Genç İşçi Çalıştırma Yasağı:</w:t>
      </w:r>
      <w:r w:rsidRPr="008C32CB">
        <w:rPr>
          <w:rFonts w:asciiTheme="minorHAnsi" w:hAnsiTheme="minorHAnsi" w:cstheme="minorHAnsi"/>
          <w:color w:val="000000" w:themeColor="text1"/>
          <w:sz w:val="22"/>
          <w:szCs w:val="22"/>
        </w:rPr>
        <w:t xml:space="preserve"> Tedarikçiler, çocuk ve genç işçi çalıştıramaz, ulusal yasa veya mevzuatla belirlenmiş en düşük çalışma yaşı kısıtlamalarına ve Uluslararası Çalışma Örgütü (ILO) standartlarına uymak zorundadır. Yanı sıra 3308 sayılı Kanun uyarınca çalıştırılması zorunlu olan stajyerler ile meslek edindirme kursu stajyerleri, meslek yüksekokulları ve üniversiteler ile yapılan protokollere istinaden çalıştırılan öğrenciler hakkında da Yönetmelik hükümlerine uygun davranılır.</w:t>
      </w:r>
    </w:p>
    <w:p w14:paraId="76BE4D3C" w14:textId="77777777" w:rsidR="006773F9"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b/>
          <w:bCs/>
          <w:color w:val="000000" w:themeColor="text1"/>
        </w:rPr>
        <w:t>Ayrımcılık Yasağı:</w:t>
      </w:r>
      <w:r w:rsidRPr="008C32CB">
        <w:rPr>
          <w:rFonts w:cstheme="minorHAnsi"/>
          <w:color w:val="000000" w:themeColor="text1"/>
        </w:rPr>
        <w:t xml:space="preserve"> Tedarikçiler çalışanlarına hiçbir türde (Din, dil, ırk, renk, cinsiyet, yaş, vb.) ayrımcılık yapamaz. Çalışanları tarafından bu türde davranışlar sergilenmesini de hoş göremez; gerekli önlemleri almakla yükümlüdür.</w:t>
      </w:r>
    </w:p>
    <w:p w14:paraId="7DA5F832" w14:textId="77777777" w:rsidR="006773F9"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b/>
          <w:bCs/>
          <w:color w:val="000000" w:themeColor="text1"/>
        </w:rPr>
        <w:t>Zorla Çalıştırma Yasağı:</w:t>
      </w:r>
      <w:r w:rsidRPr="008C32CB">
        <w:rPr>
          <w:rFonts w:cstheme="minorHAnsi"/>
          <w:color w:val="000000" w:themeColor="text1"/>
        </w:rPr>
        <w:t xml:space="preserve"> Tedarikçiler, zorla veya zorunlu çalıştırmanın hiçbir türünü uygulayamaz, istihdam kararları serbest seçim esasına dayalı olmak zorundadır.</w:t>
      </w:r>
    </w:p>
    <w:p w14:paraId="632F8AAD" w14:textId="77777777" w:rsidR="004F5CCA" w:rsidRPr="008C32CB" w:rsidRDefault="00157D14" w:rsidP="008F4C02">
      <w:pPr>
        <w:autoSpaceDE w:val="0"/>
        <w:autoSpaceDN w:val="0"/>
        <w:adjustRightInd w:val="0"/>
        <w:spacing w:before="240" w:after="0" w:line="276" w:lineRule="auto"/>
        <w:ind w:left="709" w:right="566"/>
        <w:jc w:val="both"/>
        <w:rPr>
          <w:rFonts w:cstheme="minorHAnsi"/>
          <w:b/>
          <w:bCs/>
          <w:color w:val="000000" w:themeColor="text1"/>
          <w:sz w:val="24"/>
          <w:szCs w:val="24"/>
        </w:rPr>
      </w:pPr>
      <w:r w:rsidRPr="008C32CB">
        <w:rPr>
          <w:rFonts w:cstheme="minorHAnsi"/>
          <w:b/>
          <w:bCs/>
          <w:color w:val="000000" w:themeColor="text1"/>
          <w:sz w:val="24"/>
          <w:szCs w:val="24"/>
        </w:rPr>
        <w:t>4. Rüşvet ve Yolsuzlukla Mücadele</w:t>
      </w:r>
    </w:p>
    <w:p w14:paraId="31E7FA12" w14:textId="77777777" w:rsidR="004F5CCA"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color w:val="000000" w:themeColor="text1"/>
        </w:rPr>
        <w:t>Tedarikçiler, rüşvet veremez, alamaz ve yolsuzluk yapamaz. Rüşvet ve yolsuzlukla mücadele amacıyla gerekli önlemleri alır. Ulusal ve uluslararası tüm geçerli yolsuzlukla mücadele kanunlarına uymak zorundadır.</w:t>
      </w:r>
    </w:p>
    <w:p w14:paraId="2B715B9B" w14:textId="77777777" w:rsidR="008A11C1"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color w:val="000000" w:themeColor="text1"/>
        </w:rPr>
        <w:t>Tedarikçiler, doğrudan veya dolaylı yoldan kara para aklanması faaliyetlerine katılmamalı ve bu doğrultuda gerekli önlemleri almalıdır.</w:t>
      </w:r>
    </w:p>
    <w:p w14:paraId="36D425B2" w14:textId="77777777" w:rsidR="004F5CCA" w:rsidRPr="008C32CB" w:rsidRDefault="00157D14" w:rsidP="008F4C02">
      <w:pPr>
        <w:autoSpaceDE w:val="0"/>
        <w:autoSpaceDN w:val="0"/>
        <w:adjustRightInd w:val="0"/>
        <w:spacing w:before="240" w:after="0" w:line="276" w:lineRule="auto"/>
        <w:ind w:left="709" w:right="566"/>
        <w:jc w:val="both"/>
        <w:rPr>
          <w:rFonts w:cstheme="minorHAnsi"/>
          <w:b/>
          <w:bCs/>
          <w:color w:val="000000" w:themeColor="text1"/>
          <w:sz w:val="24"/>
          <w:szCs w:val="24"/>
        </w:rPr>
      </w:pPr>
      <w:r w:rsidRPr="008C32CB">
        <w:rPr>
          <w:rFonts w:cstheme="minorHAnsi"/>
          <w:b/>
          <w:bCs/>
          <w:color w:val="000000" w:themeColor="text1"/>
          <w:sz w:val="24"/>
          <w:szCs w:val="24"/>
        </w:rPr>
        <w:t>5. Çıkar Çatışmasından Kaçınma</w:t>
      </w:r>
    </w:p>
    <w:p w14:paraId="03B6F615" w14:textId="77777777" w:rsidR="004F5CCA"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color w:val="000000" w:themeColor="text1"/>
        </w:rPr>
        <w:t xml:space="preserve">Tedarikçiler, kişisel ve finansal menfaate yol açabilecek her türlü çıkar çatışmasından ve üçüncü kişiler tarafından çıkar çatışması olarak algılanabilecek her türlü faaliyetten kaçınır. </w:t>
      </w:r>
    </w:p>
    <w:p w14:paraId="1D0B43FF" w14:textId="77777777" w:rsidR="004F5CCA" w:rsidRPr="008C32CB" w:rsidRDefault="00157D14" w:rsidP="008F4C02">
      <w:pPr>
        <w:autoSpaceDE w:val="0"/>
        <w:autoSpaceDN w:val="0"/>
        <w:adjustRightInd w:val="0"/>
        <w:spacing w:before="240" w:after="0" w:line="276" w:lineRule="auto"/>
        <w:ind w:left="709" w:right="566"/>
        <w:jc w:val="both"/>
        <w:rPr>
          <w:rFonts w:cstheme="minorHAnsi"/>
          <w:b/>
          <w:bCs/>
          <w:color w:val="000000" w:themeColor="text1"/>
          <w:sz w:val="24"/>
          <w:szCs w:val="24"/>
        </w:rPr>
      </w:pPr>
      <w:r w:rsidRPr="008C32CB">
        <w:rPr>
          <w:rFonts w:cstheme="minorHAnsi"/>
          <w:b/>
          <w:bCs/>
          <w:color w:val="000000" w:themeColor="text1"/>
          <w:sz w:val="24"/>
          <w:szCs w:val="24"/>
        </w:rPr>
        <w:t>6. Kayıtların Doğruluğu</w:t>
      </w:r>
    </w:p>
    <w:p w14:paraId="543C423C" w14:textId="77777777" w:rsidR="004F5CCA"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color w:val="000000" w:themeColor="text1"/>
        </w:rPr>
        <w:t>Tedarikçiler, tüm işlemlerine ilişkin, gerçeği doğru, dürüst ve zamanında yansıtacak şekilde kayıt tutar. Kayıtlarında tahrifat yapmaz, gerçekleştirdiği işlemleri gizlemez. Kayıtlarını yasal gereklilikler doğrultusunda saklar.</w:t>
      </w:r>
    </w:p>
    <w:p w14:paraId="26C5E545" w14:textId="77777777" w:rsidR="004F5CCA" w:rsidRPr="008C32CB" w:rsidRDefault="00157D14" w:rsidP="008F4C02">
      <w:pPr>
        <w:autoSpaceDE w:val="0"/>
        <w:autoSpaceDN w:val="0"/>
        <w:adjustRightInd w:val="0"/>
        <w:spacing w:before="240" w:after="0" w:line="276" w:lineRule="auto"/>
        <w:ind w:left="709" w:right="566"/>
        <w:jc w:val="both"/>
        <w:rPr>
          <w:rFonts w:cstheme="minorHAnsi"/>
          <w:b/>
          <w:bCs/>
          <w:color w:val="000000" w:themeColor="text1"/>
          <w:sz w:val="24"/>
          <w:szCs w:val="24"/>
        </w:rPr>
      </w:pPr>
      <w:r w:rsidRPr="008C32CB">
        <w:rPr>
          <w:rFonts w:cstheme="minorHAnsi"/>
          <w:b/>
          <w:bCs/>
          <w:color w:val="000000" w:themeColor="text1"/>
          <w:sz w:val="24"/>
          <w:szCs w:val="24"/>
        </w:rPr>
        <w:t>7. Bilgi Güvenliği</w:t>
      </w:r>
    </w:p>
    <w:p w14:paraId="10F94A02" w14:textId="77777777" w:rsidR="004F5CCA"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color w:val="000000" w:themeColor="text1"/>
        </w:rPr>
        <w:t>Tedarikçiler, ticari sır, teknik bilgi ve finansal veriler dâhil, Yeşilova Holding Şirketlerine ait ve erişimleri olan tüm gizli bilgileri korumakla yükümlüdür.</w:t>
      </w:r>
    </w:p>
    <w:p w14:paraId="4698DC35" w14:textId="77777777" w:rsidR="008F4C02" w:rsidRPr="008C32CB" w:rsidRDefault="008F4C02" w:rsidP="008F4C02">
      <w:pPr>
        <w:autoSpaceDE w:val="0"/>
        <w:autoSpaceDN w:val="0"/>
        <w:adjustRightInd w:val="0"/>
        <w:spacing w:before="240" w:after="0" w:line="276" w:lineRule="auto"/>
        <w:ind w:left="709" w:right="566"/>
        <w:jc w:val="both"/>
        <w:rPr>
          <w:rFonts w:cstheme="minorHAnsi"/>
          <w:color w:val="000000" w:themeColor="text1"/>
        </w:rPr>
      </w:pPr>
    </w:p>
    <w:p w14:paraId="7144C0E8" w14:textId="77777777" w:rsidR="004F5CCA" w:rsidRPr="008C32CB" w:rsidRDefault="00157D14" w:rsidP="008F4C02">
      <w:pPr>
        <w:autoSpaceDE w:val="0"/>
        <w:autoSpaceDN w:val="0"/>
        <w:adjustRightInd w:val="0"/>
        <w:spacing w:before="240" w:after="0" w:line="276" w:lineRule="auto"/>
        <w:ind w:left="709" w:right="566"/>
        <w:jc w:val="both"/>
        <w:rPr>
          <w:rFonts w:cstheme="minorHAnsi"/>
          <w:b/>
          <w:bCs/>
          <w:color w:val="000000" w:themeColor="text1"/>
          <w:sz w:val="24"/>
          <w:szCs w:val="24"/>
        </w:rPr>
      </w:pPr>
      <w:r w:rsidRPr="008C32CB">
        <w:rPr>
          <w:rFonts w:cstheme="minorHAnsi"/>
          <w:b/>
          <w:bCs/>
          <w:color w:val="000000" w:themeColor="text1"/>
          <w:sz w:val="24"/>
          <w:szCs w:val="24"/>
        </w:rPr>
        <w:t>8. Kural İhlallerinin Raporlanması</w:t>
      </w:r>
    </w:p>
    <w:p w14:paraId="75A97472" w14:textId="77777777" w:rsidR="00505A1F"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color w:val="000000" w:themeColor="text1"/>
        </w:rPr>
        <w:t>Tedarikçiler, çalışanlarına ve ilgili diğer kişilere, yasalara veya işbu taahhüde aykırı durumları, herhangi bir yaptırıma uğrayacakları endişesi taşımadan bildirebilecekleri kanallar sunar.</w:t>
      </w:r>
    </w:p>
    <w:p w14:paraId="4A2228AF" w14:textId="77777777" w:rsidR="00157D14"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p>
    <w:p w14:paraId="00E53679" w14:textId="77777777" w:rsidR="008D1359" w:rsidRPr="008C32CB" w:rsidRDefault="00157D14" w:rsidP="008F4C02">
      <w:pPr>
        <w:autoSpaceDE w:val="0"/>
        <w:autoSpaceDN w:val="0"/>
        <w:adjustRightInd w:val="0"/>
        <w:spacing w:before="240" w:after="0" w:line="276" w:lineRule="auto"/>
        <w:ind w:left="709" w:right="566"/>
        <w:jc w:val="both"/>
        <w:rPr>
          <w:rFonts w:cstheme="minorHAnsi"/>
          <w:color w:val="000000" w:themeColor="text1"/>
          <w:sz w:val="24"/>
          <w:szCs w:val="24"/>
        </w:rPr>
      </w:pPr>
      <w:r w:rsidRPr="008C32CB">
        <w:rPr>
          <w:rFonts w:cstheme="minorHAnsi"/>
          <w:b/>
          <w:bCs/>
          <w:color w:val="000000" w:themeColor="text1"/>
          <w:sz w:val="24"/>
          <w:szCs w:val="24"/>
        </w:rPr>
        <w:t xml:space="preserve">9. İletişim </w:t>
      </w:r>
    </w:p>
    <w:p w14:paraId="74677993" w14:textId="77777777" w:rsidR="00D62330"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color w:val="000000" w:themeColor="text1"/>
        </w:rPr>
        <w:t>Tedarikçiler, Yeşilova Holding şirketleriyle ilgili olası etik ilkelere aykırı bir durum yaşadığını düşündüğünde aşağıdaki kanallardan bildirim yapabilirler;</w:t>
      </w:r>
    </w:p>
    <w:p w14:paraId="40AFF065" w14:textId="77777777" w:rsidR="00D62330" w:rsidRPr="008C32CB" w:rsidRDefault="00157D14" w:rsidP="008F4C02">
      <w:pPr>
        <w:pStyle w:val="ListeParagraf"/>
        <w:numPr>
          <w:ilvl w:val="0"/>
          <w:numId w:val="2"/>
        </w:numPr>
        <w:autoSpaceDE w:val="0"/>
        <w:autoSpaceDN w:val="0"/>
        <w:adjustRightInd w:val="0"/>
        <w:spacing w:before="240" w:line="276" w:lineRule="auto"/>
        <w:ind w:left="709" w:right="566"/>
        <w:jc w:val="both"/>
        <w:rPr>
          <w:rFonts w:asciiTheme="minorHAnsi" w:hAnsiTheme="minorHAnsi" w:cstheme="minorHAnsi"/>
          <w:color w:val="000000" w:themeColor="text1"/>
          <w:sz w:val="22"/>
          <w:szCs w:val="22"/>
        </w:rPr>
      </w:pPr>
      <w:proofErr w:type="gramStart"/>
      <w:r w:rsidRPr="008C32CB">
        <w:rPr>
          <w:rFonts w:asciiTheme="minorHAnsi" w:hAnsiTheme="minorHAnsi" w:cstheme="minorHAnsi"/>
          <w:color w:val="000000" w:themeColor="text1"/>
          <w:sz w:val="22"/>
          <w:szCs w:val="22"/>
        </w:rPr>
        <w:t>E-mail</w:t>
      </w:r>
      <w:proofErr w:type="gramEnd"/>
      <w:r w:rsidRPr="008C32CB">
        <w:rPr>
          <w:rFonts w:asciiTheme="minorHAnsi" w:hAnsiTheme="minorHAnsi" w:cstheme="minorHAnsi"/>
          <w:color w:val="000000" w:themeColor="text1"/>
          <w:sz w:val="22"/>
          <w:szCs w:val="22"/>
        </w:rPr>
        <w:t xml:space="preserve"> ile (</w:t>
      </w:r>
      <w:hyperlink r:id="rId7" w:history="1">
        <w:r w:rsidRPr="008C32CB">
          <w:rPr>
            <w:rFonts w:asciiTheme="minorHAnsi" w:hAnsiTheme="minorHAnsi" w:cstheme="minorHAnsi"/>
            <w:color w:val="000000" w:themeColor="text1"/>
            <w:sz w:val="22"/>
            <w:szCs w:val="22"/>
          </w:rPr>
          <w:t>etikhat@yesilova.com.tr</w:t>
        </w:r>
      </w:hyperlink>
      <w:r w:rsidRPr="008C32CB">
        <w:rPr>
          <w:rFonts w:asciiTheme="minorHAnsi" w:hAnsiTheme="minorHAnsi" w:cstheme="minorHAnsi"/>
          <w:color w:val="000000" w:themeColor="text1"/>
          <w:sz w:val="22"/>
          <w:szCs w:val="22"/>
        </w:rPr>
        <w:t>)</w:t>
      </w:r>
    </w:p>
    <w:p w14:paraId="570A917A" w14:textId="77777777" w:rsidR="008F4C02" w:rsidRPr="008F4C02" w:rsidRDefault="008F4C02" w:rsidP="008F4C02">
      <w:pPr>
        <w:ind w:left="709" w:right="566"/>
        <w:jc w:val="both"/>
        <w:rPr>
          <w:rFonts w:cstheme="minorHAnsi"/>
          <w:b/>
          <w:bCs/>
          <w:color w:val="000000" w:themeColor="text1"/>
        </w:rPr>
      </w:pPr>
    </w:p>
    <w:p w14:paraId="4B7BE4BD" w14:textId="08A54CC1" w:rsidR="008F4C02" w:rsidRPr="008F4C02" w:rsidRDefault="00157D14" w:rsidP="00157D14">
      <w:pPr>
        <w:ind w:left="709" w:right="566"/>
        <w:jc w:val="both"/>
        <w:rPr>
          <w:rFonts w:cstheme="minorHAnsi"/>
          <w:b/>
          <w:bCs/>
          <w:color w:val="000000" w:themeColor="text1"/>
        </w:rPr>
      </w:pPr>
      <w:r w:rsidRPr="008F4C02">
        <w:rPr>
          <w:rFonts w:cstheme="minorHAnsi"/>
          <w:b/>
          <w:bCs/>
          <w:color w:val="000000" w:themeColor="text1"/>
        </w:rPr>
        <w:t xml:space="preserve">Yeşilova Holding’e ait olan </w:t>
      </w:r>
      <w:r w:rsidR="00F620B0">
        <w:rPr>
          <w:rFonts w:cstheme="minorHAnsi"/>
          <w:b/>
          <w:bCs/>
          <w:color w:val="000000" w:themeColor="text1"/>
        </w:rPr>
        <w:t>Can Metal</w:t>
      </w:r>
      <w:r w:rsidRPr="008F4C02">
        <w:rPr>
          <w:rFonts w:cstheme="minorHAnsi"/>
          <w:b/>
          <w:bCs/>
          <w:color w:val="000000" w:themeColor="text1"/>
        </w:rPr>
        <w:t xml:space="preserve"> şirketinin tedarikçisi ……………………………………………………… Firması olarak tarafımıza paylaşılan “Tedarikçi Etik ve Davranış Kuralları, Sürdürülebilirlik Taahhüdü’ ne” iş birliğimiz devam ettiği sürece uymayı taahhüt ediyoruz.</w:t>
      </w:r>
    </w:p>
    <w:p w14:paraId="6B030451" w14:textId="77777777" w:rsidR="008F4C02" w:rsidRPr="008F4C02" w:rsidRDefault="00157D14" w:rsidP="008F4C02">
      <w:pPr>
        <w:ind w:left="709" w:right="566"/>
        <w:jc w:val="both"/>
        <w:rPr>
          <w:rFonts w:cstheme="minorHAnsi"/>
          <w:b/>
          <w:bCs/>
          <w:color w:val="000000" w:themeColor="text1"/>
        </w:rPr>
      </w:pPr>
      <w:r w:rsidRPr="008F4C02">
        <w:rPr>
          <w:rFonts w:cstheme="minorHAnsi"/>
          <w:b/>
          <w:bCs/>
          <w:color w:val="000000" w:themeColor="text1"/>
        </w:rPr>
        <w:t xml:space="preserve">Şirket İmza Yetkisi Ad - </w:t>
      </w:r>
      <w:proofErr w:type="spellStart"/>
      <w:r w:rsidRPr="008F4C02">
        <w:rPr>
          <w:rFonts w:cstheme="minorHAnsi"/>
          <w:b/>
          <w:bCs/>
          <w:color w:val="000000" w:themeColor="text1"/>
        </w:rPr>
        <w:t>Soyad</w:t>
      </w:r>
      <w:proofErr w:type="spellEnd"/>
      <w:r w:rsidRPr="008F4C02">
        <w:rPr>
          <w:rFonts w:cstheme="minorHAnsi"/>
          <w:b/>
          <w:bCs/>
          <w:color w:val="000000" w:themeColor="text1"/>
        </w:rPr>
        <w:t>, Kaşe, İmza:</w:t>
      </w:r>
    </w:p>
    <w:p w14:paraId="6DC99993" w14:textId="77777777" w:rsidR="008F4C02" w:rsidRPr="008F4C02" w:rsidRDefault="00157D14" w:rsidP="008F4C02">
      <w:pPr>
        <w:ind w:left="709" w:right="566"/>
        <w:jc w:val="both"/>
        <w:rPr>
          <w:rFonts w:eastAsia="Times New Roman" w:cstheme="minorHAnsi"/>
          <w:lang w:eastAsia="tr-TR"/>
        </w:rPr>
      </w:pPr>
      <w:r w:rsidRPr="008F4C02">
        <w:rPr>
          <w:rFonts w:cstheme="minorHAnsi"/>
          <w:b/>
          <w:bCs/>
          <w:color w:val="000000" w:themeColor="text1"/>
        </w:rPr>
        <w:t>Tarih:</w:t>
      </w:r>
    </w:p>
    <w:p w14:paraId="6A1589DF" w14:textId="77777777" w:rsidR="008F4C02" w:rsidRPr="008F4C02" w:rsidRDefault="008F4C02" w:rsidP="008F4C02">
      <w:pPr>
        <w:ind w:left="709" w:right="566"/>
        <w:jc w:val="both"/>
        <w:rPr>
          <w:rFonts w:eastAsia="Times New Roman" w:cstheme="minorHAnsi"/>
          <w:lang w:eastAsia="tr-TR"/>
        </w:rPr>
      </w:pPr>
    </w:p>
    <w:sectPr w:rsidR="008F4C02" w:rsidRPr="008F4C02" w:rsidSect="005860F2">
      <w:headerReference w:type="default" r:id="rId8"/>
      <w:pgSz w:w="11906" w:h="16838"/>
      <w:pgMar w:top="709" w:right="992" w:bottom="567" w:left="992"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37D39" w14:textId="77777777" w:rsidR="00EF2EB7" w:rsidRDefault="00EF2EB7">
      <w:pPr>
        <w:spacing w:after="0" w:line="240" w:lineRule="auto"/>
      </w:pPr>
      <w:r>
        <w:separator/>
      </w:r>
    </w:p>
  </w:endnote>
  <w:endnote w:type="continuationSeparator" w:id="0">
    <w:p w14:paraId="253E4691" w14:textId="77777777" w:rsidR="00EF2EB7" w:rsidRDefault="00EF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F337" w14:textId="77777777" w:rsidR="00EF2EB7" w:rsidRDefault="00EF2EB7">
      <w:pPr>
        <w:spacing w:after="0" w:line="240" w:lineRule="auto"/>
      </w:pPr>
      <w:r>
        <w:separator/>
      </w:r>
    </w:p>
  </w:footnote>
  <w:footnote w:type="continuationSeparator" w:id="0">
    <w:p w14:paraId="1785E0F6" w14:textId="77777777" w:rsidR="00EF2EB7" w:rsidRDefault="00EF2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5386"/>
      <w:gridCol w:w="1204"/>
      <w:gridCol w:w="1100"/>
    </w:tblGrid>
    <w:tr w:rsidR="00DB18D5" w14:paraId="0819BC76" w14:textId="77777777" w:rsidTr="00DB18D5">
      <w:trPr>
        <w:trHeight w:val="132"/>
      </w:trPr>
      <w:tc>
        <w:tcPr>
          <w:tcW w:w="2122" w:type="dxa"/>
          <w:vMerge w:val="restart"/>
        </w:tcPr>
        <w:p w14:paraId="5D6B870D" w14:textId="6CA6DBEB" w:rsidR="00405FAE" w:rsidRDefault="00405FAE" w:rsidP="008C1F25">
          <w:pPr>
            <w:pStyle w:val="stBilgi"/>
          </w:pPr>
          <w:r w:rsidRPr="00E76CDA">
            <w:rPr>
              <w:noProof/>
            </w:rPr>
            <w:drawing>
              <wp:anchor distT="0" distB="0" distL="114300" distR="114300" simplePos="0" relativeHeight="251658240" behindDoc="1" locked="0" layoutInCell="1" allowOverlap="1" wp14:anchorId="5E2570F6" wp14:editId="545203D0">
                <wp:simplePos x="0" y="0"/>
                <wp:positionH relativeFrom="column">
                  <wp:posOffset>-34925</wp:posOffset>
                </wp:positionH>
                <wp:positionV relativeFrom="paragraph">
                  <wp:posOffset>159385</wp:posOffset>
                </wp:positionV>
                <wp:extent cx="1221348" cy="533400"/>
                <wp:effectExtent l="0" t="0" r="0" b="0"/>
                <wp:wrapTight wrapText="bothSides">
                  <wp:wrapPolygon edited="0">
                    <wp:start x="0" y="0"/>
                    <wp:lineTo x="0" y="20829"/>
                    <wp:lineTo x="21229" y="20829"/>
                    <wp:lineTo x="21229" y="0"/>
                    <wp:lineTo x="0" y="0"/>
                  </wp:wrapPolygon>
                </wp:wrapTight>
                <wp:docPr id="27644894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48942"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348" cy="533400"/>
                        </a:xfrm>
                        <a:prstGeom prst="rect">
                          <a:avLst/>
                        </a:prstGeom>
                        <a:noFill/>
                        <a:ln>
                          <a:noFill/>
                        </a:ln>
                      </pic:spPr>
                    </pic:pic>
                  </a:graphicData>
                </a:graphic>
              </wp:anchor>
            </w:drawing>
          </w:r>
        </w:p>
      </w:tc>
      <w:tc>
        <w:tcPr>
          <w:tcW w:w="5386" w:type="dxa"/>
          <w:vMerge w:val="restart"/>
        </w:tcPr>
        <w:p w14:paraId="0128D6F7" w14:textId="77777777" w:rsidR="00405FAE" w:rsidRDefault="00405FAE" w:rsidP="00DB18D5">
          <w:pPr>
            <w:pStyle w:val="stBilgi"/>
            <w:rPr>
              <w:rFonts w:ascii="Arial" w:hAnsi="Arial" w:cs="Arial"/>
              <w:b/>
              <w:bCs/>
              <w:sz w:val="32"/>
              <w:szCs w:val="32"/>
            </w:rPr>
          </w:pPr>
        </w:p>
        <w:p w14:paraId="16CB8206" w14:textId="56C8ECE0" w:rsidR="00405FAE" w:rsidRPr="00DB18D5" w:rsidRDefault="00642F69" w:rsidP="00DB18D5">
          <w:pPr>
            <w:pStyle w:val="stBilgi"/>
            <w:jc w:val="center"/>
            <w:rPr>
              <w:rFonts w:ascii="Arial" w:hAnsi="Arial" w:cs="Arial"/>
              <w:b/>
              <w:bCs/>
              <w:sz w:val="24"/>
              <w:szCs w:val="24"/>
            </w:rPr>
          </w:pPr>
          <w:r w:rsidRPr="00DB18D5">
            <w:rPr>
              <w:rFonts w:ascii="Arial" w:hAnsi="Arial" w:cs="Arial"/>
              <w:b/>
              <w:bCs/>
              <w:sz w:val="24"/>
              <w:szCs w:val="24"/>
            </w:rPr>
            <w:t>Tedarikçi Etik ve Davranış Kuralları Sürdürülebilirlik Taahhüt Formu</w:t>
          </w:r>
        </w:p>
      </w:tc>
      <w:tc>
        <w:tcPr>
          <w:tcW w:w="1204" w:type="dxa"/>
          <w:vAlign w:val="center"/>
        </w:tcPr>
        <w:p w14:paraId="1847CDD1" w14:textId="4C7158D2" w:rsidR="00405FAE" w:rsidRPr="00E92398" w:rsidRDefault="00405FAE" w:rsidP="00405FAE">
          <w:pPr>
            <w:pStyle w:val="stBilgi"/>
            <w:jc w:val="center"/>
            <w:rPr>
              <w:rFonts w:ascii="Tahoma" w:hAnsi="Tahoma" w:cs="Tahoma"/>
              <w:sz w:val="16"/>
              <w:szCs w:val="16"/>
            </w:rPr>
          </w:pPr>
          <w:r>
            <w:rPr>
              <w:rFonts w:ascii="Tahoma" w:hAnsi="Tahoma" w:cs="Tahoma"/>
              <w:sz w:val="16"/>
              <w:szCs w:val="16"/>
            </w:rPr>
            <w:t>D</w:t>
          </w:r>
          <w:r w:rsidR="006E2602">
            <w:rPr>
              <w:rFonts w:ascii="Tahoma" w:hAnsi="Tahoma" w:cs="Tahoma"/>
              <w:sz w:val="16"/>
              <w:szCs w:val="16"/>
            </w:rPr>
            <w:t>OK</w:t>
          </w:r>
          <w:r>
            <w:rPr>
              <w:rFonts w:ascii="Tahoma" w:hAnsi="Tahoma" w:cs="Tahoma"/>
              <w:sz w:val="16"/>
              <w:szCs w:val="16"/>
            </w:rPr>
            <w:t>. NO:</w:t>
          </w:r>
        </w:p>
      </w:tc>
      <w:tc>
        <w:tcPr>
          <w:tcW w:w="1100" w:type="dxa"/>
          <w:vAlign w:val="center"/>
        </w:tcPr>
        <w:p w14:paraId="15AF7B4B" w14:textId="676CDD30" w:rsidR="00405FAE" w:rsidRPr="00E92398" w:rsidRDefault="00405FAE" w:rsidP="00405FAE">
          <w:pPr>
            <w:pStyle w:val="stBilgi"/>
            <w:jc w:val="center"/>
            <w:rPr>
              <w:rFonts w:ascii="Tahoma" w:hAnsi="Tahoma" w:cs="Tahoma"/>
              <w:sz w:val="16"/>
              <w:szCs w:val="16"/>
            </w:rPr>
          </w:pPr>
          <w:r w:rsidRPr="00E92398">
            <w:rPr>
              <w:rFonts w:ascii="Tahoma" w:hAnsi="Tahoma" w:cs="Tahoma"/>
              <w:sz w:val="16"/>
              <w:szCs w:val="16"/>
            </w:rPr>
            <w:t>F.01.</w:t>
          </w:r>
          <w:r w:rsidR="00F620B0">
            <w:rPr>
              <w:rFonts w:ascii="Tahoma" w:hAnsi="Tahoma" w:cs="Tahoma"/>
              <w:sz w:val="16"/>
              <w:szCs w:val="16"/>
            </w:rPr>
            <w:t>22</w:t>
          </w:r>
        </w:p>
      </w:tc>
    </w:tr>
    <w:tr w:rsidR="00DB18D5" w14:paraId="63731ED6" w14:textId="77777777" w:rsidTr="00DB18D5">
      <w:trPr>
        <w:trHeight w:val="103"/>
      </w:trPr>
      <w:tc>
        <w:tcPr>
          <w:tcW w:w="2122" w:type="dxa"/>
          <w:vMerge/>
        </w:tcPr>
        <w:p w14:paraId="5E5FAC48" w14:textId="77777777" w:rsidR="00405FAE" w:rsidRDefault="00405FAE" w:rsidP="00405FAE">
          <w:pPr>
            <w:pStyle w:val="stBilgi"/>
          </w:pPr>
        </w:p>
      </w:tc>
      <w:tc>
        <w:tcPr>
          <w:tcW w:w="5386" w:type="dxa"/>
          <w:vMerge/>
        </w:tcPr>
        <w:p w14:paraId="17612B33" w14:textId="77777777" w:rsidR="00405FAE" w:rsidRDefault="00405FAE" w:rsidP="00405FAE">
          <w:pPr>
            <w:pStyle w:val="stBilgi"/>
          </w:pPr>
        </w:p>
      </w:tc>
      <w:tc>
        <w:tcPr>
          <w:tcW w:w="1204" w:type="dxa"/>
          <w:vAlign w:val="center"/>
        </w:tcPr>
        <w:p w14:paraId="05C30804" w14:textId="77777777" w:rsidR="00405FAE" w:rsidRPr="00E92398" w:rsidRDefault="00405FAE" w:rsidP="00405FAE">
          <w:pPr>
            <w:pStyle w:val="stBilgi"/>
            <w:jc w:val="center"/>
            <w:rPr>
              <w:rFonts w:ascii="Tahoma" w:hAnsi="Tahoma" w:cs="Tahoma"/>
              <w:sz w:val="16"/>
              <w:szCs w:val="16"/>
            </w:rPr>
          </w:pPr>
          <w:r>
            <w:rPr>
              <w:rFonts w:ascii="Tahoma" w:hAnsi="Tahoma" w:cs="Tahoma"/>
              <w:sz w:val="16"/>
              <w:szCs w:val="16"/>
            </w:rPr>
            <w:t>REV. NO:</w:t>
          </w:r>
        </w:p>
      </w:tc>
      <w:tc>
        <w:tcPr>
          <w:tcW w:w="1100" w:type="dxa"/>
          <w:vAlign w:val="center"/>
        </w:tcPr>
        <w:p w14:paraId="261735AE" w14:textId="620E54AE" w:rsidR="00405FAE" w:rsidRPr="00E92398" w:rsidRDefault="00405FAE" w:rsidP="00405FAE">
          <w:pPr>
            <w:pStyle w:val="stBilgi"/>
            <w:jc w:val="center"/>
            <w:rPr>
              <w:rFonts w:ascii="Tahoma" w:hAnsi="Tahoma" w:cs="Tahoma"/>
              <w:sz w:val="16"/>
              <w:szCs w:val="16"/>
            </w:rPr>
          </w:pPr>
          <w:r>
            <w:rPr>
              <w:rFonts w:ascii="Tahoma" w:hAnsi="Tahoma" w:cs="Tahoma"/>
              <w:sz w:val="16"/>
              <w:szCs w:val="16"/>
            </w:rPr>
            <w:t>0</w:t>
          </w:r>
          <w:r w:rsidR="00F620B0">
            <w:rPr>
              <w:rFonts w:ascii="Tahoma" w:hAnsi="Tahoma" w:cs="Tahoma"/>
              <w:sz w:val="16"/>
              <w:szCs w:val="16"/>
            </w:rPr>
            <w:t>0</w:t>
          </w:r>
        </w:p>
      </w:tc>
    </w:tr>
    <w:tr w:rsidR="00DB18D5" w14:paraId="358E1509" w14:textId="77777777" w:rsidTr="00DB18D5">
      <w:trPr>
        <w:trHeight w:val="192"/>
      </w:trPr>
      <w:tc>
        <w:tcPr>
          <w:tcW w:w="2122" w:type="dxa"/>
          <w:vMerge/>
        </w:tcPr>
        <w:p w14:paraId="5272F4A6" w14:textId="77777777" w:rsidR="00405FAE" w:rsidRDefault="00405FAE" w:rsidP="00405FAE">
          <w:pPr>
            <w:pStyle w:val="stBilgi"/>
          </w:pPr>
        </w:p>
      </w:tc>
      <w:tc>
        <w:tcPr>
          <w:tcW w:w="5386" w:type="dxa"/>
          <w:vMerge/>
        </w:tcPr>
        <w:p w14:paraId="1F205647" w14:textId="77777777" w:rsidR="00405FAE" w:rsidRDefault="00405FAE" w:rsidP="00405FAE">
          <w:pPr>
            <w:pStyle w:val="stBilgi"/>
          </w:pPr>
        </w:p>
      </w:tc>
      <w:tc>
        <w:tcPr>
          <w:tcW w:w="1204" w:type="dxa"/>
          <w:vAlign w:val="center"/>
        </w:tcPr>
        <w:p w14:paraId="369AB0B2" w14:textId="1B315E1D" w:rsidR="00405FAE" w:rsidRPr="00E92398" w:rsidRDefault="00405FAE" w:rsidP="00405FAE">
          <w:pPr>
            <w:pStyle w:val="stBilgi"/>
            <w:jc w:val="center"/>
            <w:rPr>
              <w:rFonts w:ascii="Tahoma" w:hAnsi="Tahoma" w:cs="Tahoma"/>
              <w:sz w:val="16"/>
              <w:szCs w:val="16"/>
            </w:rPr>
          </w:pPr>
          <w:r>
            <w:rPr>
              <w:rFonts w:ascii="Tahoma" w:hAnsi="Tahoma" w:cs="Tahoma"/>
              <w:sz w:val="16"/>
              <w:szCs w:val="16"/>
            </w:rPr>
            <w:t xml:space="preserve">REV. </w:t>
          </w:r>
          <w:r w:rsidR="006E2602">
            <w:rPr>
              <w:rFonts w:ascii="Tahoma" w:hAnsi="Tahoma" w:cs="Tahoma"/>
              <w:sz w:val="16"/>
              <w:szCs w:val="16"/>
            </w:rPr>
            <w:t>TARİH</w:t>
          </w:r>
          <w:r>
            <w:rPr>
              <w:rFonts w:ascii="Tahoma" w:hAnsi="Tahoma" w:cs="Tahoma"/>
              <w:sz w:val="16"/>
              <w:szCs w:val="16"/>
            </w:rPr>
            <w:t>:</w:t>
          </w:r>
        </w:p>
      </w:tc>
      <w:tc>
        <w:tcPr>
          <w:tcW w:w="1100" w:type="dxa"/>
          <w:vAlign w:val="center"/>
        </w:tcPr>
        <w:p w14:paraId="67795A67" w14:textId="6900F9EF" w:rsidR="00F620B0" w:rsidRPr="00E92398" w:rsidRDefault="00F620B0" w:rsidP="00F620B0">
          <w:pPr>
            <w:pStyle w:val="stBilgi"/>
            <w:jc w:val="center"/>
            <w:rPr>
              <w:rFonts w:ascii="Tahoma" w:hAnsi="Tahoma" w:cs="Tahoma"/>
              <w:sz w:val="16"/>
              <w:szCs w:val="16"/>
            </w:rPr>
          </w:pPr>
          <w:r>
            <w:rPr>
              <w:rFonts w:ascii="Tahoma" w:hAnsi="Tahoma" w:cs="Tahoma"/>
              <w:sz w:val="16"/>
              <w:szCs w:val="16"/>
            </w:rPr>
            <w:t>-</w:t>
          </w:r>
        </w:p>
      </w:tc>
    </w:tr>
    <w:tr w:rsidR="00DB18D5" w14:paraId="0897F100" w14:textId="77777777" w:rsidTr="00DB18D5">
      <w:trPr>
        <w:trHeight w:val="192"/>
      </w:trPr>
      <w:tc>
        <w:tcPr>
          <w:tcW w:w="2122" w:type="dxa"/>
          <w:vMerge/>
        </w:tcPr>
        <w:p w14:paraId="26C9B82A" w14:textId="77777777" w:rsidR="00405FAE" w:rsidRDefault="00405FAE" w:rsidP="00405FAE">
          <w:pPr>
            <w:pStyle w:val="stBilgi"/>
          </w:pPr>
        </w:p>
      </w:tc>
      <w:tc>
        <w:tcPr>
          <w:tcW w:w="5386" w:type="dxa"/>
          <w:vMerge/>
        </w:tcPr>
        <w:p w14:paraId="23AAD816" w14:textId="77777777" w:rsidR="00405FAE" w:rsidRDefault="00405FAE" w:rsidP="00405FAE">
          <w:pPr>
            <w:pStyle w:val="stBilgi"/>
          </w:pPr>
        </w:p>
      </w:tc>
      <w:tc>
        <w:tcPr>
          <w:tcW w:w="1204" w:type="dxa"/>
          <w:vAlign w:val="center"/>
        </w:tcPr>
        <w:p w14:paraId="6C3079A3" w14:textId="019DA4CD" w:rsidR="00405FAE" w:rsidRPr="00E92398" w:rsidRDefault="006E2602" w:rsidP="00405FAE">
          <w:pPr>
            <w:pStyle w:val="stBilgi"/>
            <w:jc w:val="center"/>
            <w:rPr>
              <w:rFonts w:ascii="Tahoma" w:hAnsi="Tahoma" w:cs="Tahoma"/>
              <w:sz w:val="16"/>
              <w:szCs w:val="16"/>
            </w:rPr>
          </w:pPr>
          <w:r>
            <w:rPr>
              <w:rFonts w:ascii="Tahoma" w:hAnsi="Tahoma" w:cs="Tahoma"/>
              <w:sz w:val="16"/>
              <w:szCs w:val="16"/>
            </w:rPr>
            <w:t>HAZ. TARİH:</w:t>
          </w:r>
        </w:p>
      </w:tc>
      <w:tc>
        <w:tcPr>
          <w:tcW w:w="1100" w:type="dxa"/>
          <w:vAlign w:val="center"/>
        </w:tcPr>
        <w:p w14:paraId="1AB76485" w14:textId="61293994" w:rsidR="00405FAE" w:rsidRPr="00E92398" w:rsidRDefault="00F620B0" w:rsidP="00405FAE">
          <w:pPr>
            <w:pStyle w:val="stBilgi"/>
            <w:jc w:val="center"/>
            <w:rPr>
              <w:rFonts w:ascii="Tahoma" w:hAnsi="Tahoma" w:cs="Tahoma"/>
              <w:sz w:val="16"/>
              <w:szCs w:val="16"/>
            </w:rPr>
          </w:pPr>
          <w:r>
            <w:rPr>
              <w:rFonts w:ascii="Tahoma" w:hAnsi="Tahoma" w:cs="Tahoma"/>
              <w:sz w:val="16"/>
              <w:szCs w:val="16"/>
            </w:rPr>
            <w:t>12.09.2024</w:t>
          </w:r>
        </w:p>
      </w:tc>
    </w:tr>
    <w:tr w:rsidR="00DB18D5" w14:paraId="6BF4DBED" w14:textId="77777777" w:rsidTr="00DB18D5">
      <w:trPr>
        <w:trHeight w:val="192"/>
      </w:trPr>
      <w:tc>
        <w:tcPr>
          <w:tcW w:w="2122" w:type="dxa"/>
          <w:vMerge/>
        </w:tcPr>
        <w:p w14:paraId="480546B2" w14:textId="77777777" w:rsidR="00405FAE" w:rsidRDefault="00405FAE" w:rsidP="00405FAE">
          <w:pPr>
            <w:pStyle w:val="stBilgi"/>
          </w:pPr>
        </w:p>
      </w:tc>
      <w:tc>
        <w:tcPr>
          <w:tcW w:w="5386" w:type="dxa"/>
          <w:vMerge/>
        </w:tcPr>
        <w:p w14:paraId="0D75EF43" w14:textId="77777777" w:rsidR="00405FAE" w:rsidRDefault="00405FAE" w:rsidP="00405FAE">
          <w:pPr>
            <w:pStyle w:val="stBilgi"/>
          </w:pPr>
        </w:p>
      </w:tc>
      <w:tc>
        <w:tcPr>
          <w:tcW w:w="1204" w:type="dxa"/>
          <w:vAlign w:val="center"/>
        </w:tcPr>
        <w:p w14:paraId="00689398" w14:textId="775B0D7A" w:rsidR="00405FAE" w:rsidRPr="00E92398" w:rsidRDefault="006E2602" w:rsidP="00405FAE">
          <w:pPr>
            <w:pStyle w:val="stBilgi"/>
            <w:jc w:val="center"/>
            <w:rPr>
              <w:rFonts w:ascii="Tahoma" w:hAnsi="Tahoma" w:cs="Tahoma"/>
              <w:sz w:val="16"/>
              <w:szCs w:val="16"/>
            </w:rPr>
          </w:pPr>
          <w:r>
            <w:rPr>
              <w:rFonts w:ascii="Tahoma" w:hAnsi="Tahoma" w:cs="Tahoma"/>
              <w:sz w:val="16"/>
              <w:szCs w:val="16"/>
            </w:rPr>
            <w:t>SAYFA</w:t>
          </w:r>
          <w:r w:rsidR="00405FAE" w:rsidRPr="00E92398">
            <w:rPr>
              <w:rFonts w:ascii="Tahoma" w:hAnsi="Tahoma" w:cs="Tahoma"/>
              <w:sz w:val="16"/>
              <w:szCs w:val="16"/>
            </w:rPr>
            <w:t xml:space="preserve"> NO:</w:t>
          </w:r>
        </w:p>
      </w:tc>
      <w:tc>
        <w:tcPr>
          <w:tcW w:w="1100" w:type="dxa"/>
          <w:vAlign w:val="center"/>
        </w:tcPr>
        <w:p w14:paraId="46F2CED0" w14:textId="77777777" w:rsidR="00405FAE" w:rsidRPr="00E92398" w:rsidRDefault="00405FAE" w:rsidP="00405FAE">
          <w:pPr>
            <w:pStyle w:val="stBilgi"/>
            <w:jc w:val="center"/>
            <w:rPr>
              <w:rFonts w:ascii="Tahoma" w:hAnsi="Tahoma" w:cs="Tahoma"/>
              <w:sz w:val="16"/>
              <w:szCs w:val="16"/>
            </w:rPr>
          </w:pPr>
          <w:r w:rsidRPr="00E92398">
            <w:rPr>
              <w:rFonts w:ascii="Tahoma" w:hAnsi="Tahoma" w:cs="Tahoma"/>
              <w:sz w:val="16"/>
              <w:szCs w:val="16"/>
            </w:rPr>
            <w:fldChar w:fldCharType="begin"/>
          </w:r>
          <w:r w:rsidRPr="00E92398">
            <w:rPr>
              <w:rFonts w:ascii="Tahoma" w:hAnsi="Tahoma" w:cs="Tahoma"/>
              <w:sz w:val="16"/>
              <w:szCs w:val="16"/>
            </w:rPr>
            <w:instrText xml:space="preserve"> PAGE </w:instrText>
          </w:r>
          <w:r w:rsidRPr="00E92398">
            <w:rPr>
              <w:rFonts w:ascii="Tahoma" w:hAnsi="Tahoma" w:cs="Tahoma"/>
              <w:sz w:val="16"/>
              <w:szCs w:val="16"/>
            </w:rPr>
            <w:fldChar w:fldCharType="separate"/>
          </w:r>
          <w:r w:rsidRPr="00E92398">
            <w:rPr>
              <w:rFonts w:ascii="Tahoma" w:hAnsi="Tahoma" w:cs="Tahoma"/>
              <w:sz w:val="16"/>
              <w:szCs w:val="16"/>
            </w:rPr>
            <w:t>2</w:t>
          </w:r>
          <w:r w:rsidRPr="00E92398">
            <w:rPr>
              <w:rFonts w:ascii="Tahoma" w:hAnsi="Tahoma" w:cs="Tahoma"/>
              <w:sz w:val="16"/>
              <w:szCs w:val="16"/>
            </w:rPr>
            <w:fldChar w:fldCharType="end"/>
          </w:r>
          <w:r w:rsidRPr="00E92398">
            <w:rPr>
              <w:rFonts w:ascii="Tahoma" w:hAnsi="Tahoma" w:cs="Tahoma"/>
              <w:sz w:val="16"/>
              <w:szCs w:val="16"/>
            </w:rPr>
            <w:t xml:space="preserve"> / </w:t>
          </w:r>
          <w:r w:rsidRPr="00E92398">
            <w:rPr>
              <w:rFonts w:ascii="Tahoma" w:hAnsi="Tahoma" w:cs="Tahoma"/>
              <w:sz w:val="16"/>
              <w:szCs w:val="16"/>
            </w:rPr>
            <w:fldChar w:fldCharType="begin"/>
          </w:r>
          <w:r w:rsidRPr="00E92398">
            <w:rPr>
              <w:rFonts w:ascii="Tahoma" w:hAnsi="Tahoma" w:cs="Tahoma"/>
              <w:sz w:val="16"/>
              <w:szCs w:val="16"/>
            </w:rPr>
            <w:instrText xml:space="preserve"> NUMPAGES  </w:instrText>
          </w:r>
          <w:r w:rsidRPr="00E92398">
            <w:rPr>
              <w:rFonts w:ascii="Tahoma" w:hAnsi="Tahoma" w:cs="Tahoma"/>
              <w:sz w:val="16"/>
              <w:szCs w:val="16"/>
            </w:rPr>
            <w:fldChar w:fldCharType="separate"/>
          </w:r>
          <w:r w:rsidRPr="00E92398">
            <w:rPr>
              <w:rFonts w:ascii="Tahoma" w:hAnsi="Tahoma" w:cs="Tahoma"/>
              <w:sz w:val="16"/>
              <w:szCs w:val="16"/>
            </w:rPr>
            <w:t>2</w:t>
          </w:r>
          <w:r w:rsidRPr="00E92398">
            <w:rPr>
              <w:rFonts w:ascii="Tahoma" w:hAnsi="Tahoma" w:cs="Tahoma"/>
              <w:sz w:val="16"/>
              <w:szCs w:val="16"/>
            </w:rPr>
            <w:fldChar w:fldCharType="end"/>
          </w:r>
        </w:p>
      </w:tc>
    </w:tr>
  </w:tbl>
  <w:p w14:paraId="15A24B03" w14:textId="77777777" w:rsidR="008456B8" w:rsidRDefault="008456B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1593"/>
    <w:multiLevelType w:val="hybridMultilevel"/>
    <w:tmpl w:val="2AA6A0B8"/>
    <w:lvl w:ilvl="0" w:tplc="E93C6B06">
      <w:start w:val="1"/>
      <w:numFmt w:val="bullet"/>
      <w:lvlText w:val=""/>
      <w:lvlJc w:val="left"/>
      <w:pPr>
        <w:ind w:left="720" w:hanging="360"/>
      </w:pPr>
      <w:rPr>
        <w:rFonts w:ascii="Symbol" w:hAnsi="Symbol" w:hint="default"/>
      </w:rPr>
    </w:lvl>
    <w:lvl w:ilvl="1" w:tplc="34BCA0D6" w:tentative="1">
      <w:start w:val="1"/>
      <w:numFmt w:val="bullet"/>
      <w:lvlText w:val="o"/>
      <w:lvlJc w:val="left"/>
      <w:pPr>
        <w:ind w:left="1440" w:hanging="360"/>
      </w:pPr>
      <w:rPr>
        <w:rFonts w:ascii="Courier New" w:hAnsi="Courier New" w:cs="Courier New" w:hint="default"/>
      </w:rPr>
    </w:lvl>
    <w:lvl w:ilvl="2" w:tplc="E342F7DA" w:tentative="1">
      <w:start w:val="1"/>
      <w:numFmt w:val="bullet"/>
      <w:lvlText w:val=""/>
      <w:lvlJc w:val="left"/>
      <w:pPr>
        <w:ind w:left="2160" w:hanging="360"/>
      </w:pPr>
      <w:rPr>
        <w:rFonts w:ascii="Wingdings" w:hAnsi="Wingdings" w:hint="default"/>
      </w:rPr>
    </w:lvl>
    <w:lvl w:ilvl="3" w:tplc="0F966AA0" w:tentative="1">
      <w:start w:val="1"/>
      <w:numFmt w:val="bullet"/>
      <w:lvlText w:val=""/>
      <w:lvlJc w:val="left"/>
      <w:pPr>
        <w:ind w:left="2880" w:hanging="360"/>
      </w:pPr>
      <w:rPr>
        <w:rFonts w:ascii="Symbol" w:hAnsi="Symbol" w:hint="default"/>
      </w:rPr>
    </w:lvl>
    <w:lvl w:ilvl="4" w:tplc="FF1EAEF8" w:tentative="1">
      <w:start w:val="1"/>
      <w:numFmt w:val="bullet"/>
      <w:lvlText w:val="o"/>
      <w:lvlJc w:val="left"/>
      <w:pPr>
        <w:ind w:left="3600" w:hanging="360"/>
      </w:pPr>
      <w:rPr>
        <w:rFonts w:ascii="Courier New" w:hAnsi="Courier New" w:cs="Courier New" w:hint="default"/>
      </w:rPr>
    </w:lvl>
    <w:lvl w:ilvl="5" w:tplc="E5A0EB08" w:tentative="1">
      <w:start w:val="1"/>
      <w:numFmt w:val="bullet"/>
      <w:lvlText w:val=""/>
      <w:lvlJc w:val="left"/>
      <w:pPr>
        <w:ind w:left="4320" w:hanging="360"/>
      </w:pPr>
      <w:rPr>
        <w:rFonts w:ascii="Wingdings" w:hAnsi="Wingdings" w:hint="default"/>
      </w:rPr>
    </w:lvl>
    <w:lvl w:ilvl="6" w:tplc="4054557A" w:tentative="1">
      <w:start w:val="1"/>
      <w:numFmt w:val="bullet"/>
      <w:lvlText w:val=""/>
      <w:lvlJc w:val="left"/>
      <w:pPr>
        <w:ind w:left="5040" w:hanging="360"/>
      </w:pPr>
      <w:rPr>
        <w:rFonts w:ascii="Symbol" w:hAnsi="Symbol" w:hint="default"/>
      </w:rPr>
    </w:lvl>
    <w:lvl w:ilvl="7" w:tplc="A6046204" w:tentative="1">
      <w:start w:val="1"/>
      <w:numFmt w:val="bullet"/>
      <w:lvlText w:val="o"/>
      <w:lvlJc w:val="left"/>
      <w:pPr>
        <w:ind w:left="5760" w:hanging="360"/>
      </w:pPr>
      <w:rPr>
        <w:rFonts w:ascii="Courier New" w:hAnsi="Courier New" w:cs="Courier New" w:hint="default"/>
      </w:rPr>
    </w:lvl>
    <w:lvl w:ilvl="8" w:tplc="BE4024B6" w:tentative="1">
      <w:start w:val="1"/>
      <w:numFmt w:val="bullet"/>
      <w:lvlText w:val=""/>
      <w:lvlJc w:val="left"/>
      <w:pPr>
        <w:ind w:left="6480" w:hanging="360"/>
      </w:pPr>
      <w:rPr>
        <w:rFonts w:ascii="Wingdings" w:hAnsi="Wingdings" w:hint="default"/>
      </w:rPr>
    </w:lvl>
  </w:abstractNum>
  <w:abstractNum w:abstractNumId="1" w15:restartNumberingAfterBreak="0">
    <w:nsid w:val="363A0FFE"/>
    <w:multiLevelType w:val="hybridMultilevel"/>
    <w:tmpl w:val="79203826"/>
    <w:lvl w:ilvl="0" w:tplc="252EA112">
      <w:start w:val="1"/>
      <w:numFmt w:val="bullet"/>
      <w:lvlText w:val=""/>
      <w:lvlJc w:val="left"/>
      <w:pPr>
        <w:ind w:left="720" w:hanging="360"/>
      </w:pPr>
      <w:rPr>
        <w:rFonts w:ascii="Symbol" w:hAnsi="Symbol" w:hint="default"/>
      </w:rPr>
    </w:lvl>
    <w:lvl w:ilvl="1" w:tplc="CF5C9FF2" w:tentative="1">
      <w:start w:val="1"/>
      <w:numFmt w:val="bullet"/>
      <w:lvlText w:val="o"/>
      <w:lvlJc w:val="left"/>
      <w:pPr>
        <w:ind w:left="1440" w:hanging="360"/>
      </w:pPr>
      <w:rPr>
        <w:rFonts w:ascii="Courier New" w:hAnsi="Courier New" w:cs="Courier New" w:hint="default"/>
      </w:rPr>
    </w:lvl>
    <w:lvl w:ilvl="2" w:tplc="75388962" w:tentative="1">
      <w:start w:val="1"/>
      <w:numFmt w:val="bullet"/>
      <w:lvlText w:val=""/>
      <w:lvlJc w:val="left"/>
      <w:pPr>
        <w:ind w:left="2160" w:hanging="360"/>
      </w:pPr>
      <w:rPr>
        <w:rFonts w:ascii="Wingdings" w:hAnsi="Wingdings" w:hint="default"/>
      </w:rPr>
    </w:lvl>
    <w:lvl w:ilvl="3" w:tplc="EA54230A" w:tentative="1">
      <w:start w:val="1"/>
      <w:numFmt w:val="bullet"/>
      <w:lvlText w:val=""/>
      <w:lvlJc w:val="left"/>
      <w:pPr>
        <w:ind w:left="2880" w:hanging="360"/>
      </w:pPr>
      <w:rPr>
        <w:rFonts w:ascii="Symbol" w:hAnsi="Symbol" w:hint="default"/>
      </w:rPr>
    </w:lvl>
    <w:lvl w:ilvl="4" w:tplc="8FDC4E76" w:tentative="1">
      <w:start w:val="1"/>
      <w:numFmt w:val="bullet"/>
      <w:lvlText w:val="o"/>
      <w:lvlJc w:val="left"/>
      <w:pPr>
        <w:ind w:left="3600" w:hanging="360"/>
      </w:pPr>
      <w:rPr>
        <w:rFonts w:ascii="Courier New" w:hAnsi="Courier New" w:cs="Courier New" w:hint="default"/>
      </w:rPr>
    </w:lvl>
    <w:lvl w:ilvl="5" w:tplc="62887B14" w:tentative="1">
      <w:start w:val="1"/>
      <w:numFmt w:val="bullet"/>
      <w:lvlText w:val=""/>
      <w:lvlJc w:val="left"/>
      <w:pPr>
        <w:ind w:left="4320" w:hanging="360"/>
      </w:pPr>
      <w:rPr>
        <w:rFonts w:ascii="Wingdings" w:hAnsi="Wingdings" w:hint="default"/>
      </w:rPr>
    </w:lvl>
    <w:lvl w:ilvl="6" w:tplc="459AAFA0" w:tentative="1">
      <w:start w:val="1"/>
      <w:numFmt w:val="bullet"/>
      <w:lvlText w:val=""/>
      <w:lvlJc w:val="left"/>
      <w:pPr>
        <w:ind w:left="5040" w:hanging="360"/>
      </w:pPr>
      <w:rPr>
        <w:rFonts w:ascii="Symbol" w:hAnsi="Symbol" w:hint="default"/>
      </w:rPr>
    </w:lvl>
    <w:lvl w:ilvl="7" w:tplc="34307760" w:tentative="1">
      <w:start w:val="1"/>
      <w:numFmt w:val="bullet"/>
      <w:lvlText w:val="o"/>
      <w:lvlJc w:val="left"/>
      <w:pPr>
        <w:ind w:left="5760" w:hanging="360"/>
      </w:pPr>
      <w:rPr>
        <w:rFonts w:ascii="Courier New" w:hAnsi="Courier New" w:cs="Courier New" w:hint="default"/>
      </w:rPr>
    </w:lvl>
    <w:lvl w:ilvl="8" w:tplc="0A7A5648" w:tentative="1">
      <w:start w:val="1"/>
      <w:numFmt w:val="bullet"/>
      <w:lvlText w:val=""/>
      <w:lvlJc w:val="left"/>
      <w:pPr>
        <w:ind w:left="6480" w:hanging="360"/>
      </w:pPr>
      <w:rPr>
        <w:rFonts w:ascii="Wingdings" w:hAnsi="Wingdings" w:hint="default"/>
      </w:rPr>
    </w:lvl>
  </w:abstractNum>
  <w:abstractNum w:abstractNumId="2" w15:restartNumberingAfterBreak="0">
    <w:nsid w:val="746C12CE"/>
    <w:multiLevelType w:val="hybridMultilevel"/>
    <w:tmpl w:val="2968FF9C"/>
    <w:lvl w:ilvl="0" w:tplc="CA1ACF6E">
      <w:start w:val="1"/>
      <w:numFmt w:val="bullet"/>
      <w:lvlText w:val="o"/>
      <w:lvlJc w:val="left"/>
      <w:pPr>
        <w:ind w:left="1080" w:hanging="360"/>
      </w:pPr>
      <w:rPr>
        <w:rFonts w:ascii="Courier New" w:hAnsi="Courier New" w:cs="Courier New" w:hint="default"/>
      </w:rPr>
    </w:lvl>
    <w:lvl w:ilvl="1" w:tplc="601C7374">
      <w:start w:val="1"/>
      <w:numFmt w:val="bullet"/>
      <w:lvlText w:val="o"/>
      <w:lvlJc w:val="left"/>
      <w:pPr>
        <w:ind w:left="1800" w:hanging="360"/>
      </w:pPr>
      <w:rPr>
        <w:rFonts w:ascii="Courier New" w:hAnsi="Courier New" w:cs="Courier New" w:hint="default"/>
      </w:rPr>
    </w:lvl>
    <w:lvl w:ilvl="2" w:tplc="BC76A900">
      <w:start w:val="1"/>
      <w:numFmt w:val="bullet"/>
      <w:lvlText w:val=""/>
      <w:lvlJc w:val="left"/>
      <w:pPr>
        <w:ind w:left="2520" w:hanging="360"/>
      </w:pPr>
      <w:rPr>
        <w:rFonts w:ascii="Wingdings" w:hAnsi="Wingdings" w:hint="default"/>
      </w:rPr>
    </w:lvl>
    <w:lvl w:ilvl="3" w:tplc="EE7254E0">
      <w:start w:val="1"/>
      <w:numFmt w:val="bullet"/>
      <w:lvlText w:val=""/>
      <w:lvlJc w:val="left"/>
      <w:pPr>
        <w:ind w:left="3240" w:hanging="360"/>
      </w:pPr>
      <w:rPr>
        <w:rFonts w:ascii="Symbol" w:hAnsi="Symbol" w:hint="default"/>
      </w:rPr>
    </w:lvl>
    <w:lvl w:ilvl="4" w:tplc="8EF868FE">
      <w:start w:val="1"/>
      <w:numFmt w:val="bullet"/>
      <w:lvlText w:val="o"/>
      <w:lvlJc w:val="left"/>
      <w:pPr>
        <w:ind w:left="3960" w:hanging="360"/>
      </w:pPr>
      <w:rPr>
        <w:rFonts w:ascii="Courier New" w:hAnsi="Courier New" w:cs="Courier New" w:hint="default"/>
      </w:rPr>
    </w:lvl>
    <w:lvl w:ilvl="5" w:tplc="6720907C">
      <w:start w:val="1"/>
      <w:numFmt w:val="bullet"/>
      <w:lvlText w:val=""/>
      <w:lvlJc w:val="left"/>
      <w:pPr>
        <w:ind w:left="4680" w:hanging="360"/>
      </w:pPr>
      <w:rPr>
        <w:rFonts w:ascii="Wingdings" w:hAnsi="Wingdings" w:hint="default"/>
      </w:rPr>
    </w:lvl>
    <w:lvl w:ilvl="6" w:tplc="7B2A7908">
      <w:start w:val="1"/>
      <w:numFmt w:val="bullet"/>
      <w:lvlText w:val=""/>
      <w:lvlJc w:val="left"/>
      <w:pPr>
        <w:ind w:left="5400" w:hanging="360"/>
      </w:pPr>
      <w:rPr>
        <w:rFonts w:ascii="Symbol" w:hAnsi="Symbol" w:hint="default"/>
      </w:rPr>
    </w:lvl>
    <w:lvl w:ilvl="7" w:tplc="AA62E5F0">
      <w:start w:val="1"/>
      <w:numFmt w:val="bullet"/>
      <w:lvlText w:val="o"/>
      <w:lvlJc w:val="left"/>
      <w:pPr>
        <w:ind w:left="6120" w:hanging="360"/>
      </w:pPr>
      <w:rPr>
        <w:rFonts w:ascii="Courier New" w:hAnsi="Courier New" w:cs="Courier New" w:hint="default"/>
      </w:rPr>
    </w:lvl>
    <w:lvl w:ilvl="8" w:tplc="B52CEF54">
      <w:start w:val="1"/>
      <w:numFmt w:val="bullet"/>
      <w:lvlText w:val=""/>
      <w:lvlJc w:val="left"/>
      <w:pPr>
        <w:ind w:left="6840" w:hanging="360"/>
      </w:pPr>
      <w:rPr>
        <w:rFonts w:ascii="Wingdings" w:hAnsi="Wingdings" w:hint="default"/>
      </w:rPr>
    </w:lvl>
  </w:abstractNum>
  <w:num w:numId="1" w16cid:durableId="1635213200">
    <w:abstractNumId w:val="2"/>
  </w:num>
  <w:num w:numId="2" w16cid:durableId="2090957118">
    <w:abstractNumId w:val="1"/>
  </w:num>
  <w:num w:numId="3" w16cid:durableId="192691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64"/>
    <w:rsid w:val="0000080E"/>
    <w:rsid w:val="000122C0"/>
    <w:rsid w:val="000425C7"/>
    <w:rsid w:val="00073287"/>
    <w:rsid w:val="00073DFC"/>
    <w:rsid w:val="00077949"/>
    <w:rsid w:val="000A175F"/>
    <w:rsid w:val="000B0465"/>
    <w:rsid w:val="000D276F"/>
    <w:rsid w:val="000F008B"/>
    <w:rsid w:val="000F1334"/>
    <w:rsid w:val="0010101F"/>
    <w:rsid w:val="001118F4"/>
    <w:rsid w:val="00120C9A"/>
    <w:rsid w:val="001504BF"/>
    <w:rsid w:val="001529A0"/>
    <w:rsid w:val="00157D14"/>
    <w:rsid w:val="001B654E"/>
    <w:rsid w:val="001C3BB4"/>
    <w:rsid w:val="001C6846"/>
    <w:rsid w:val="001D30BC"/>
    <w:rsid w:val="002842DF"/>
    <w:rsid w:val="002B2BE9"/>
    <w:rsid w:val="002F748B"/>
    <w:rsid w:val="00311F32"/>
    <w:rsid w:val="00331D85"/>
    <w:rsid w:val="0036652C"/>
    <w:rsid w:val="0037721E"/>
    <w:rsid w:val="00381F17"/>
    <w:rsid w:val="00382BA9"/>
    <w:rsid w:val="00383563"/>
    <w:rsid w:val="003B43A5"/>
    <w:rsid w:val="00405FAE"/>
    <w:rsid w:val="00471248"/>
    <w:rsid w:val="00471CFD"/>
    <w:rsid w:val="004725D9"/>
    <w:rsid w:val="00483ADA"/>
    <w:rsid w:val="00493714"/>
    <w:rsid w:val="00497440"/>
    <w:rsid w:val="004A558D"/>
    <w:rsid w:val="004C6F3A"/>
    <w:rsid w:val="004D2EE3"/>
    <w:rsid w:val="004D3A0A"/>
    <w:rsid w:val="004F5CCA"/>
    <w:rsid w:val="00505A1F"/>
    <w:rsid w:val="005062D7"/>
    <w:rsid w:val="00506671"/>
    <w:rsid w:val="00527A87"/>
    <w:rsid w:val="00530592"/>
    <w:rsid w:val="00572ECD"/>
    <w:rsid w:val="005860F2"/>
    <w:rsid w:val="005A6955"/>
    <w:rsid w:val="005D6EEB"/>
    <w:rsid w:val="005E0805"/>
    <w:rsid w:val="00613F61"/>
    <w:rsid w:val="00636BCA"/>
    <w:rsid w:val="00642F69"/>
    <w:rsid w:val="006737C9"/>
    <w:rsid w:val="00674DCB"/>
    <w:rsid w:val="006773F9"/>
    <w:rsid w:val="006815CF"/>
    <w:rsid w:val="006D70D3"/>
    <w:rsid w:val="006E2602"/>
    <w:rsid w:val="006F071D"/>
    <w:rsid w:val="00731878"/>
    <w:rsid w:val="00742648"/>
    <w:rsid w:val="00795CB4"/>
    <w:rsid w:val="007A6FFE"/>
    <w:rsid w:val="007B2564"/>
    <w:rsid w:val="007D620D"/>
    <w:rsid w:val="008069FE"/>
    <w:rsid w:val="00825283"/>
    <w:rsid w:val="008275DA"/>
    <w:rsid w:val="008305EB"/>
    <w:rsid w:val="008402A1"/>
    <w:rsid w:val="008456B8"/>
    <w:rsid w:val="00853178"/>
    <w:rsid w:val="00860A5F"/>
    <w:rsid w:val="00872CB1"/>
    <w:rsid w:val="008776DB"/>
    <w:rsid w:val="00897029"/>
    <w:rsid w:val="008A11C1"/>
    <w:rsid w:val="008C1136"/>
    <w:rsid w:val="008C1F25"/>
    <w:rsid w:val="008C32CB"/>
    <w:rsid w:val="008D1359"/>
    <w:rsid w:val="008E1368"/>
    <w:rsid w:val="008F4C02"/>
    <w:rsid w:val="00910141"/>
    <w:rsid w:val="00926C01"/>
    <w:rsid w:val="00934957"/>
    <w:rsid w:val="009A2871"/>
    <w:rsid w:val="009B38A5"/>
    <w:rsid w:val="009B39E2"/>
    <w:rsid w:val="009B6B2B"/>
    <w:rsid w:val="009D2317"/>
    <w:rsid w:val="009D27A3"/>
    <w:rsid w:val="009F615E"/>
    <w:rsid w:val="00AA36D6"/>
    <w:rsid w:val="00AA4670"/>
    <w:rsid w:val="00AA747D"/>
    <w:rsid w:val="00AD2AE7"/>
    <w:rsid w:val="00AE1D96"/>
    <w:rsid w:val="00B06D5B"/>
    <w:rsid w:val="00B14297"/>
    <w:rsid w:val="00B26566"/>
    <w:rsid w:val="00B42EDA"/>
    <w:rsid w:val="00B67021"/>
    <w:rsid w:val="00B80B25"/>
    <w:rsid w:val="00B93B1C"/>
    <w:rsid w:val="00BB2D85"/>
    <w:rsid w:val="00BC1192"/>
    <w:rsid w:val="00BD2413"/>
    <w:rsid w:val="00BE55AF"/>
    <w:rsid w:val="00C134D2"/>
    <w:rsid w:val="00C13BC3"/>
    <w:rsid w:val="00C33BFC"/>
    <w:rsid w:val="00C62878"/>
    <w:rsid w:val="00C75102"/>
    <w:rsid w:val="00CB6BE0"/>
    <w:rsid w:val="00CC2C9C"/>
    <w:rsid w:val="00CC7C42"/>
    <w:rsid w:val="00CE4DDD"/>
    <w:rsid w:val="00D1506D"/>
    <w:rsid w:val="00D26C64"/>
    <w:rsid w:val="00D45F69"/>
    <w:rsid w:val="00D62330"/>
    <w:rsid w:val="00DA6D94"/>
    <w:rsid w:val="00DB18D5"/>
    <w:rsid w:val="00DB6B5E"/>
    <w:rsid w:val="00DD3684"/>
    <w:rsid w:val="00E126C3"/>
    <w:rsid w:val="00E242B8"/>
    <w:rsid w:val="00E87EA1"/>
    <w:rsid w:val="00EA0289"/>
    <w:rsid w:val="00EF2EB7"/>
    <w:rsid w:val="00F51ABD"/>
    <w:rsid w:val="00F53D9A"/>
    <w:rsid w:val="00F620B0"/>
    <w:rsid w:val="00F9758E"/>
    <w:rsid w:val="00FA2ED1"/>
    <w:rsid w:val="00FB031F"/>
    <w:rsid w:val="00FC42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98D5B"/>
  <w15:chartTrackingRefBased/>
  <w15:docId w15:val="{AEB47C2C-BAF0-47C9-AD75-2D74DA03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5">
    <w:name w:val="heading 5"/>
    <w:basedOn w:val="Normal"/>
    <w:next w:val="Normal"/>
    <w:link w:val="Balk5Char"/>
    <w:uiPriority w:val="9"/>
    <w:unhideWhenUsed/>
    <w:qFormat/>
    <w:rsid w:val="008456B8"/>
    <w:pPr>
      <w:keepNext/>
      <w:keepLines/>
      <w:spacing w:before="40" w:after="0" w:line="240" w:lineRule="auto"/>
      <w:outlineLvl w:val="4"/>
    </w:pPr>
    <w:rPr>
      <w:rFonts w:asciiTheme="majorHAnsi" w:eastAsiaTheme="majorEastAsia" w:hAnsiTheme="majorHAnsi" w:cstheme="majorBidi"/>
      <w:color w:val="2F5496" w:themeColor="accent1" w:themeShade="BF"/>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A36D6"/>
    <w:pPr>
      <w:spacing w:after="0" w:line="240" w:lineRule="auto"/>
      <w:ind w:left="720"/>
      <w:contextualSpacing/>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D62330"/>
    <w:rPr>
      <w:color w:val="0000FF"/>
      <w:u w:val="single"/>
    </w:rPr>
  </w:style>
  <w:style w:type="character" w:styleId="zmlenmeyenBahsetme">
    <w:name w:val="Unresolved Mention"/>
    <w:basedOn w:val="VarsaylanParagrafYazTipi"/>
    <w:uiPriority w:val="99"/>
    <w:semiHidden/>
    <w:unhideWhenUsed/>
    <w:rsid w:val="00825283"/>
    <w:rPr>
      <w:color w:val="605E5C"/>
      <w:shd w:val="clear" w:color="auto" w:fill="E1DFDD"/>
    </w:rPr>
  </w:style>
  <w:style w:type="character" w:styleId="zlenenKpr">
    <w:name w:val="FollowedHyperlink"/>
    <w:basedOn w:val="VarsaylanParagrafYazTipi"/>
    <w:uiPriority w:val="99"/>
    <w:semiHidden/>
    <w:unhideWhenUsed/>
    <w:rsid w:val="004A558D"/>
    <w:rPr>
      <w:color w:val="954F72" w:themeColor="followedHyperlink"/>
      <w:u w:val="single"/>
    </w:rPr>
  </w:style>
  <w:style w:type="paragraph" w:styleId="stBilgi">
    <w:name w:val="header"/>
    <w:basedOn w:val="Normal"/>
    <w:link w:val="stBilgiChar"/>
    <w:unhideWhenUsed/>
    <w:rsid w:val="008456B8"/>
    <w:pPr>
      <w:tabs>
        <w:tab w:val="center" w:pos="4536"/>
        <w:tab w:val="right" w:pos="9072"/>
      </w:tabs>
      <w:spacing w:after="0" w:line="240" w:lineRule="auto"/>
    </w:pPr>
  </w:style>
  <w:style w:type="character" w:customStyle="1" w:styleId="stBilgiChar">
    <w:name w:val="Üst Bilgi Char"/>
    <w:basedOn w:val="VarsaylanParagrafYazTipi"/>
    <w:link w:val="stBilgi"/>
    <w:rsid w:val="008456B8"/>
  </w:style>
  <w:style w:type="paragraph" w:styleId="AltBilgi">
    <w:name w:val="footer"/>
    <w:basedOn w:val="Normal"/>
    <w:link w:val="AltBilgiChar"/>
    <w:uiPriority w:val="99"/>
    <w:unhideWhenUsed/>
    <w:rsid w:val="008456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56B8"/>
  </w:style>
  <w:style w:type="character" w:customStyle="1" w:styleId="Balk5Char">
    <w:name w:val="Başlık 5 Char"/>
    <w:basedOn w:val="VarsaylanParagrafYazTipi"/>
    <w:link w:val="Balk5"/>
    <w:uiPriority w:val="9"/>
    <w:rsid w:val="008456B8"/>
    <w:rPr>
      <w:rFonts w:asciiTheme="majorHAnsi" w:eastAsiaTheme="majorEastAsia" w:hAnsiTheme="majorHAnsi" w:cstheme="majorBidi"/>
      <w:color w:val="2F5496" w:themeColor="accent1" w:themeShade="BF"/>
      <w:sz w:val="24"/>
      <w:szCs w:val="24"/>
      <w:lang w:eastAsia="tr-TR"/>
    </w:rPr>
  </w:style>
  <w:style w:type="character" w:styleId="SayfaNumaras">
    <w:name w:val="page number"/>
    <w:basedOn w:val="VarsaylanParagrafYazTipi"/>
    <w:semiHidden/>
    <w:unhideWhenUsed/>
    <w:rsid w:val="00845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tikhat@yesilova.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819</Words>
  <Characters>4669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Çetintaş</dc:creator>
  <cp:lastModifiedBy>Eda Çetintaş</cp:lastModifiedBy>
  <cp:revision>13</cp:revision>
  <dcterms:created xsi:type="dcterms:W3CDTF">2024-09-11T09:23:00Z</dcterms:created>
  <dcterms:modified xsi:type="dcterms:W3CDTF">2026-02-12T07:51:00Z</dcterms:modified>
</cp:coreProperties>
</file>